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:72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Млади и савремено друштво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Стицање знања о концептуалном оквиру проучавања младих (младост, омладина).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Образлагање друштвеног конструисања концепта младости.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Истицање обележја младалачког доба; процес индивидуализације и транзиције у одраслост.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положаја младих у савременом друштву и њихове животне шансе.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критичке свести о изазовима и ризичном понашању младих људи.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опише концептуални оквир проучавања младих;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разликује појмове „млади” и „омладина”;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образложи младост као друштвени конструкт;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анализира и тумачи положај младих и њихове животне шансе;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критички размишља о изазовима са којима се млади суочавају и ризичним понашањима.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индивидуални, рад у пару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(предавање, разговор, дискусија, олуја идеја), рад на тексту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Уџбеник, наставни прилози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Психологија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Излагање наставника: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Теоријски оквир проучавања младости, младих и омладине (појмовна одређења, кључне промене у савременом тумачењу – продужена младост, дестандардизација младости, реверзибилност младости).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Младалачке транзиције: процес индивидуализације; прелазак из сфере образовања у свет рада; од породице „порекла“ ка породици „опредељења“; животни стилови младих и ризична понашања.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Аналитички оквир положаја младих у савременом друштву (општа обележја). 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27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(15 мин.):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 xml:space="preserve">Анализа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положаја младих у Србији (образовање, материјални положај, стамбени ресурси, запосленост, социокултурни капитал). Ученици у пару добијају по један примерак Прилога 1 са означеним одељцима за праћење и анализу.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Анализирају у пару уз помоћ и упућивање наставника.</w:t>
            </w:r>
          </w:p>
          <w:p>
            <w:pPr>
              <w:pStyle w:val="style0"/>
              <w:tabs>
                <w:tab w:leader="none" w:pos="3722" w:val="center"/>
                <w:tab w:leader="none" w:pos="4537" w:val="left"/>
              </w:tabs>
              <w:jc w:val="both"/>
              <w:rPr>
                <w:rFonts w:ascii="Times New Roman" w:cs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b/>
                <w:sz w:val="24"/>
                <w:szCs w:val="24"/>
              </w:rPr>
              <w:t>Активност 3 (12 мин.):</w:t>
              <w:tab/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Разговор у пленуму: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- Први део разговора о усмерен је на закључке анализе о положају младих у Србији.</w:t>
            </w:r>
          </w:p>
          <w:p>
            <w:pPr>
              <w:pStyle w:val="style0"/>
              <w:jc w:val="both"/>
              <w:rPr>
                <w:rFonts w:ascii="Times New Roman" w:cs="Times New Roman" w:eastAsia="Calibri" w:hAnsi="Times New Roman"/>
                <w:sz w:val="24"/>
                <w:szCs w:val="24"/>
              </w:rPr>
            </w:pPr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- Други део: уопштено о изазовима са којима се млади суочавају и ризичним понашањима, ученици појединачно наводе изазове и ризична понашања младих; н</w:t>
            </w:r>
            <w:bookmarkStart w:id="0" w:name="_GoBack"/>
            <w:bookmarkEnd w:id="0"/>
            <w:r>
              <w:rPr>
                <w:rFonts w:ascii="Times New Roman" w:cs="Times New Roman" w:eastAsia="Calibri" w:hAnsi="Times New Roman"/>
                <w:sz w:val="24"/>
                <w:szCs w:val="24"/>
              </w:rPr>
              <w:t>аставник на систематичан начин на табли записује, групише и категоризује наведене одговоре.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Наставник износи завршну реч и оцењује успешност анализе.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Прилог 1:</w:t>
      </w:r>
    </w:p>
    <w:p>
      <w:pPr>
        <w:pStyle w:val="style0"/>
        <w:tabs>
          <w:tab w:leader="none" w:pos="1141" w:val="left"/>
        </w:tabs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С. Томановић, Д. Станојевић (2012), Млади - наша садашњост (2012): Социо-демографске карактеристике (46-49 стр.); Обележја друштвеног положаја младих (55-73 стр.), Београд, Чигоја.</w:t>
      </w:r>
    </w:p>
    <w:p>
      <w:pPr>
        <w:pStyle w:val="style0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2017-02-09T23:25:00Z</dcterms:created>
  <dc:creator>Vera Scekic</dc:creator>
  <cp:lastModifiedBy>Jovana</cp:lastModifiedBy>
  <dcterms:modified xsi:type="dcterms:W3CDTF">2017-02-15T15:59:00Z</dcterms:modified>
  <cp:revision>17</cp:revision>
</cp:coreProperties>
</file>